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（認定申請書ロ－②の添付書類）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　　　　　　　　　　　　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（表１：事業が属する業種毎の最近１年間の売上高）</w:t>
      </w:r>
    </w:p>
    <w:p>
      <w:pPr>
        <w:pStyle w:val="0"/>
        <w:widowControl w:val="1"/>
        <w:ind w:firstLine="240" w:firstLineChars="1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当社の指定業種は＿＿＿＿＿＿＿＿＿＿＿</w:t>
      </w:r>
    </w:p>
    <w:tbl>
      <w:tblPr>
        <w:tblStyle w:val="46"/>
        <w:tblW w:w="95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16"/>
        <w:gridCol w:w="3125"/>
        <w:gridCol w:w="3194"/>
      </w:tblGrid>
      <w:tr>
        <w:trPr>
          <w:trHeight w:val="354" w:hRule="atLeast"/>
        </w:trPr>
        <w:tc>
          <w:tcPr>
            <w:tcW w:w="321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業種（※）</w:t>
            </w:r>
          </w:p>
        </w:tc>
        <w:tc>
          <w:tcPr>
            <w:tcW w:w="312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319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>
          <w:trHeight w:val="354" w:hRule="atLeast"/>
        </w:trPr>
        <w:tc>
          <w:tcPr>
            <w:tcW w:w="321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312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19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354" w:hRule="atLeast"/>
        </w:trPr>
        <w:tc>
          <w:tcPr>
            <w:tcW w:w="321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312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19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354" w:hRule="atLeast"/>
        </w:trPr>
        <w:tc>
          <w:tcPr>
            <w:tcW w:w="321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312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19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354" w:hRule="atLeast"/>
        </w:trPr>
        <w:tc>
          <w:tcPr>
            <w:tcW w:w="3216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312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19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354" w:hRule="atLeast"/>
        </w:trPr>
        <w:tc>
          <w:tcPr>
            <w:tcW w:w="321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312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19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※：業種欄には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日本標準産業分類の細分類番号と細分類業種名を記載。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6"/>
          <w:w w:val="92"/>
          <w:kern w:val="0"/>
          <w:sz w:val="22"/>
          <w:fitText w:val="8580" w:id="1"/>
        </w:rPr>
        <w:t>（表２：最近１か月間における</w:t>
      </w:r>
      <w:r>
        <w:rPr>
          <w:rFonts w:hint="eastAsia" w:ascii="ＭＳ ゴシック" w:hAnsi="ＭＳ ゴシック" w:eastAsia="ＭＳ ゴシック"/>
          <w:color w:val="000000"/>
          <w:spacing w:val="6"/>
          <w:kern w:val="0"/>
          <w:sz w:val="22"/>
          <w:fitText w:val="8580" w:id="1"/>
        </w:rPr>
        <w:t>企業</w:t>
      </w:r>
      <w:r>
        <w:rPr>
          <w:rFonts w:hint="eastAsia" w:ascii="ＭＳ ゴシック" w:hAnsi="ＭＳ ゴシック" w:eastAsia="ＭＳ ゴシック"/>
          <w:color w:val="000000"/>
          <w:spacing w:val="6"/>
          <w:w w:val="92"/>
          <w:kern w:val="0"/>
          <w:sz w:val="22"/>
          <w:fitText w:val="8580" w:id="1"/>
        </w:rPr>
        <w:t>全体の売上原価に占める指定業種の売上原価の割合</w:t>
      </w:r>
      <w:r>
        <w:rPr>
          <w:rFonts w:hint="eastAsia" w:ascii="ＭＳ ゴシック" w:hAnsi="ＭＳ ゴシック" w:eastAsia="ＭＳ ゴシック"/>
          <w:color w:val="000000"/>
          <w:spacing w:val="15"/>
          <w:w w:val="92"/>
          <w:kern w:val="0"/>
          <w:sz w:val="22"/>
          <w:fitText w:val="8580" w:id="1"/>
        </w:rPr>
        <w:t>）</w:t>
      </w:r>
    </w:p>
    <w:tbl>
      <w:tblPr>
        <w:tblStyle w:val="46"/>
        <w:tblW w:w="95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246"/>
        <w:gridCol w:w="4289"/>
      </w:tblGrid>
      <w:tr>
        <w:trPr>
          <w:trHeight w:val="397" w:hRule="atLeast"/>
        </w:trPr>
        <w:tc>
          <w:tcPr>
            <w:tcW w:w="524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企業全体の最近１か月間の売上原価【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428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524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指定業種の最近１か月間の売上原価【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428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524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</w:p>
        </w:tc>
        <w:tc>
          <w:tcPr>
            <w:tcW w:w="428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before="178" w:beforeLines="50" w:beforeAutospacing="0" w:line="366" w:lineRule="atLeast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kern w:val="0"/>
          <w:sz w:val="22"/>
        </w:rPr>
        <w:t>（表３：指定業種に係る原油等の最近１か月間の仕入単価の上昇）</w:t>
      </w:r>
    </w:p>
    <w:tbl>
      <w:tblPr>
        <w:tblStyle w:val="11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79"/>
        <w:gridCol w:w="2972"/>
        <w:gridCol w:w="2543"/>
        <w:gridCol w:w="2641"/>
      </w:tblGrid>
      <w:tr>
        <w:trPr>
          <w:trHeight w:val="1197" w:hRule="atLeast"/>
        </w:trPr>
        <w:tc>
          <w:tcPr>
            <w:tcW w:w="1379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972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原油等の最近１か月間の平均仕入単価</w:t>
            </w:r>
          </w:p>
        </w:tc>
        <w:tc>
          <w:tcPr>
            <w:tcW w:w="2543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原油等の前年同月の平均仕入単価</w:t>
            </w:r>
          </w:p>
        </w:tc>
        <w:tc>
          <w:tcPr>
            <w:tcW w:w="2641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原油等の仕入単価の上昇率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E/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ｅ×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</w:tr>
      <w:tr>
        <w:trPr>
          <w:trHeight w:val="400" w:hRule="atLeast"/>
        </w:trPr>
        <w:tc>
          <w:tcPr>
            <w:tcW w:w="1379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</w:t>
            </w:r>
          </w:p>
        </w:tc>
        <w:tc>
          <w:tcPr>
            <w:tcW w:w="2972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円【Ｅ】</w:t>
            </w:r>
          </w:p>
        </w:tc>
        <w:tc>
          <w:tcPr>
            <w:tcW w:w="2543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円【ｅ】</w:t>
            </w:r>
          </w:p>
        </w:tc>
        <w:tc>
          <w:tcPr>
            <w:tcW w:w="2641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before="178" w:beforeLines="50" w:beforeAutospacing="0"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pacing w:val="6"/>
          <w:w w:val="87"/>
          <w:kern w:val="0"/>
          <w:sz w:val="24"/>
          <w:fitText w:val="8580" w:id="2"/>
        </w:rPr>
        <w:t>（表４：指定業種及び</w:t>
      </w:r>
      <w:r>
        <w:rPr>
          <w:rFonts w:hint="eastAsia" w:ascii="ＭＳ ゴシック" w:hAnsi="ＭＳ ゴシック" w:eastAsia="ＭＳ ゴシック"/>
          <w:spacing w:val="6"/>
          <w:w w:val="85"/>
          <w:kern w:val="0"/>
          <w:sz w:val="24"/>
          <w:fitText w:val="8580" w:id="2"/>
        </w:rPr>
        <w:t>企業</w:t>
      </w:r>
      <w:r>
        <w:rPr>
          <w:rFonts w:hint="eastAsia" w:ascii="ＭＳ ゴシック" w:hAnsi="ＭＳ ゴシック" w:eastAsia="ＭＳ ゴシック"/>
          <w:spacing w:val="6"/>
          <w:w w:val="87"/>
          <w:kern w:val="0"/>
          <w:sz w:val="24"/>
          <w:fitText w:val="8580" w:id="2"/>
        </w:rPr>
        <w:t>全体それぞれの売上原価に占める原油等の仕入価格の割合</w:t>
      </w:r>
      <w:r>
        <w:rPr>
          <w:rFonts w:hint="eastAsia" w:ascii="ＭＳ ゴシック" w:hAnsi="ＭＳ ゴシック" w:eastAsia="ＭＳ ゴシック"/>
          <w:color w:val="000000"/>
          <w:spacing w:val="8"/>
          <w:w w:val="87"/>
          <w:kern w:val="0"/>
          <w:sz w:val="24"/>
          <w:fitText w:val="8580" w:id="2"/>
        </w:rPr>
        <w:t>）</w:t>
      </w:r>
    </w:p>
    <w:tbl>
      <w:tblPr>
        <w:tblStyle w:val="11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46"/>
        <w:gridCol w:w="2355"/>
        <w:gridCol w:w="2624"/>
        <w:gridCol w:w="2910"/>
      </w:tblGrid>
      <w:tr>
        <w:trPr>
          <w:trHeight w:val="1074" w:hRule="atLeast"/>
        </w:trPr>
        <w:tc>
          <w:tcPr>
            <w:tcW w:w="164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355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最近１か月間の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売上原価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624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最近１か月間の売上原価に対応する原油等の仕入価格</w:t>
            </w:r>
          </w:p>
        </w:tc>
        <w:tc>
          <w:tcPr>
            <w:tcW w:w="2910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売上原価に占める原油等の仕入価格の割合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S/C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</w:tr>
      <w:tr>
        <w:trPr>
          <w:trHeight w:val="358" w:hRule="atLeast"/>
        </w:trPr>
        <w:tc>
          <w:tcPr>
            <w:tcW w:w="1646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</w:t>
            </w:r>
          </w:p>
        </w:tc>
        <w:tc>
          <w:tcPr>
            <w:tcW w:w="2355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円【Ｃ】</w:t>
            </w:r>
          </w:p>
        </w:tc>
        <w:tc>
          <w:tcPr>
            <w:tcW w:w="262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円【Ｓ】</w:t>
            </w:r>
          </w:p>
        </w:tc>
        <w:tc>
          <w:tcPr>
            <w:tcW w:w="2910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358" w:hRule="atLeast"/>
        </w:trPr>
        <w:tc>
          <w:tcPr>
            <w:tcW w:w="1646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</w:t>
            </w:r>
          </w:p>
        </w:tc>
        <w:tc>
          <w:tcPr>
            <w:tcW w:w="2355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円【Ｃ】</w:t>
            </w:r>
          </w:p>
        </w:tc>
        <w:tc>
          <w:tcPr>
            <w:tcW w:w="262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円【Ｓ】</w:t>
            </w:r>
          </w:p>
        </w:tc>
        <w:tc>
          <w:tcPr>
            <w:tcW w:w="2910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before="178" w:beforeLines="50" w:beforeAutospacing="0" w:line="366" w:lineRule="atLeast"/>
        <w:jc w:val="left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（表５：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指定業種及び企業全体それぞれの製品等価格への転嫁の状況）</w:t>
      </w:r>
    </w:p>
    <w:tbl>
      <w:tblPr>
        <w:tblStyle w:val="11"/>
        <w:tblW w:w="9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798"/>
        <w:gridCol w:w="1573"/>
        <w:gridCol w:w="1488"/>
        <w:gridCol w:w="925"/>
        <w:gridCol w:w="1377"/>
        <w:gridCol w:w="1437"/>
        <w:gridCol w:w="922"/>
        <w:gridCol w:w="1121"/>
      </w:tblGrid>
      <w:tr>
        <w:trPr>
          <w:trHeight w:val="1064" w:hRule="atLeast"/>
        </w:trPr>
        <w:tc>
          <w:tcPr>
            <w:tcW w:w="79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73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最近３か月間の原油等の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仕入価格</w:t>
            </w:r>
          </w:p>
        </w:tc>
        <w:tc>
          <w:tcPr>
            <w:tcW w:w="1488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最近３か月間の売上高</w:t>
            </w:r>
          </w:p>
        </w:tc>
        <w:tc>
          <w:tcPr>
            <w:tcW w:w="925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  <w:tc>
          <w:tcPr>
            <w:tcW w:w="137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前年同期の原油等の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仕入価格</w:t>
            </w:r>
          </w:p>
        </w:tc>
        <w:tc>
          <w:tcPr>
            <w:tcW w:w="143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前年同期の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売上高</w:t>
            </w:r>
          </w:p>
        </w:tc>
        <w:tc>
          <w:tcPr>
            <w:tcW w:w="922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  <w:tc>
          <w:tcPr>
            <w:tcW w:w="1121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－（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）＝Ｐ</w:t>
            </w:r>
          </w:p>
        </w:tc>
      </w:tr>
      <w:tr>
        <w:trPr>
          <w:trHeight w:val="709" w:hRule="atLeast"/>
        </w:trPr>
        <w:tc>
          <w:tcPr>
            <w:tcW w:w="798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</w:t>
            </w:r>
          </w:p>
        </w:tc>
        <w:tc>
          <w:tcPr>
            <w:tcW w:w="157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48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2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7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43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2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12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09" w:hRule="atLeast"/>
        </w:trPr>
        <w:tc>
          <w:tcPr>
            <w:tcW w:w="798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全体</w:t>
            </w:r>
          </w:p>
        </w:tc>
        <w:tc>
          <w:tcPr>
            <w:tcW w:w="157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48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2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7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43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2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12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20" w:hanging="720" w:hangingChars="30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  <w:bookmarkStart w:id="0" w:name="_GoBack"/>
      <w:bookmarkEnd w:id="0"/>
    </w:p>
    <w:sectPr>
      <w:footerReference r:id="rId5" w:type="default"/>
      <w:pgSz w:w="11906" w:h="16838"/>
      <w:pgMar w:top="1190" w:right="1168" w:bottom="1134" w:left="1168" w:header="720" w:footer="720" w:gutter="0"/>
      <w:pgNumType w:fmt="numberInDash"/>
      <w:cols w:space="720"/>
      <w:noEndnote w:val="1"/>
      <w:textDirection w:val="lrTb"/>
      <w:docGrid w:type="linesAndChars" w:linePitch="36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3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3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38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30"/>
    <w:uiPriority w:val="0"/>
    <w:semiHidden/>
    <w:pPr>
      <w:jc w:val="left"/>
    </w:pPr>
  </w:style>
  <w:style w:type="paragraph" w:styleId="21">
    <w:name w:val="annotation subject"/>
    <w:basedOn w:val="20"/>
    <w:next w:val="20"/>
    <w:link w:val="40"/>
    <w:uiPriority w:val="0"/>
    <w:semiHidden/>
    <w:rPr>
      <w:b w:val="1"/>
    </w:rPr>
  </w:style>
  <w:style w:type="character" w:styleId="22" w:customStyle="1">
    <w:name w:val="ヘッダー (文字)"/>
    <w:next w:val="22"/>
    <w:link w:val="16"/>
    <w:uiPriority w:val="0"/>
    <w:rPr>
      <w:kern w:val="2"/>
      <w:sz w:val="21"/>
    </w:rPr>
  </w:style>
  <w:style w:type="character" w:styleId="23" w:customStyle="1">
    <w:name w:val="フッター (文字)"/>
    <w:next w:val="23"/>
    <w:link w:val="17"/>
    <w:uiPriority w:val="0"/>
    <w:rPr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kern w:val="2"/>
      <w:sz w:val="21"/>
    </w:rPr>
  </w:style>
  <w:style w:type="paragraph" w:styleId="27">
    <w:name w:val="Plain Text"/>
    <w:basedOn w:val="0"/>
    <w:next w:val="27"/>
    <w:link w:val="28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8" w:customStyle="1">
    <w:name w:val="書式なし (文字)"/>
    <w:next w:val="28"/>
    <w:link w:val="27"/>
    <w:uiPriority w:val="0"/>
    <w:rPr>
      <w:rFonts w:ascii="ＭＳ ゴシック" w:hAnsi="ＭＳ ゴシック" w:eastAsia="ＭＳ ゴシック"/>
      <w:kern w:val="2"/>
    </w:rPr>
  </w:style>
  <w:style w:type="paragraph" w:styleId="29">
    <w:name w:val="Revision"/>
    <w:next w:val="29"/>
    <w:link w:val="0"/>
    <w:uiPriority w:val="0"/>
    <w:rPr>
      <w:kern w:val="2"/>
      <w:sz w:val="21"/>
    </w:rPr>
  </w:style>
  <w:style w:type="character" w:styleId="30" w:customStyle="1">
    <w:name w:val="コメント文字列 (文字)"/>
    <w:basedOn w:val="10"/>
    <w:next w:val="30"/>
    <w:link w:val="20"/>
    <w:uiPriority w:val="0"/>
    <w:rPr>
      <w:kern w:val="2"/>
      <w:sz w:val="21"/>
    </w:rPr>
  </w:style>
  <w:style w:type="paragraph" w:styleId="31">
    <w:name w:val="Note Heading"/>
    <w:basedOn w:val="0"/>
    <w:next w:val="0"/>
    <w:link w:val="32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ゴシック" w:hAnsi="ＭＳ ゴシック" w:eastAsia="ＭＳ ゴシック"/>
      <w:color w:val="000000"/>
      <w:sz w:val="21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ゴシック" w:hAnsi="ＭＳ ゴシック" w:eastAsia="ＭＳ ゴシック"/>
      <w:color w:val="000000"/>
      <w:sz w:val="21"/>
    </w:rPr>
  </w:style>
  <w:style w:type="character" w:styleId="35" w:customStyle="1">
    <w:name w:val="見出し 1 (文字)"/>
    <w:basedOn w:val="10"/>
    <w:next w:val="35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36" w:customStyle="1">
    <w:name w:val="見出し 2 (文字)"/>
    <w:basedOn w:val="10"/>
    <w:next w:val="36"/>
    <w:link w:val="2"/>
    <w:uiPriority w:val="0"/>
    <w:rPr>
      <w:rFonts w:asciiTheme="majorHAnsi" w:hAnsiTheme="majorHAnsi" w:eastAsiaTheme="majorEastAsia"/>
      <w:kern w:val="2"/>
      <w:sz w:val="21"/>
    </w:rPr>
  </w:style>
  <w:style w:type="paragraph" w:styleId="37">
    <w:name w:val="TOC Heading"/>
    <w:basedOn w:val="1"/>
    <w:next w:val="0"/>
    <w:link w:val="0"/>
    <w:uiPriority w:val="0"/>
    <w:qFormat/>
    <w:pPr>
      <w:outlineLvl w:val="9"/>
    </w:pPr>
  </w:style>
  <w:style w:type="character" w:styleId="38" w:customStyle="1">
    <w:name w:val="吹き出し (文字)"/>
    <w:basedOn w:val="10"/>
    <w:next w:val="38"/>
    <w:link w:val="15"/>
    <w:uiPriority w:val="0"/>
    <w:rPr>
      <w:rFonts w:ascii="Arial" w:hAnsi="Arial" w:eastAsia="ＭＳ ゴシック"/>
      <w:kern w:val="2"/>
      <w:sz w:val="18"/>
    </w:rPr>
  </w:style>
  <w:style w:type="character" w:styleId="39">
    <w:name w:val="Placeholder Text"/>
    <w:basedOn w:val="10"/>
    <w:next w:val="39"/>
    <w:link w:val="0"/>
    <w:uiPriority w:val="0"/>
    <w:rPr>
      <w:color w:val="808080"/>
    </w:rPr>
  </w:style>
  <w:style w:type="character" w:styleId="40" w:customStyle="1">
    <w:name w:val="コメント内容 (文字)"/>
    <w:basedOn w:val="30"/>
    <w:next w:val="40"/>
    <w:link w:val="21"/>
    <w:uiPriority w:val="0"/>
    <w:rPr>
      <w:b w:val="1"/>
      <w:kern w:val="2"/>
      <w:sz w:val="21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character" w:styleId="43" w:customStyle="1">
    <w:name w:val="p"/>
    <w:basedOn w:val="10"/>
    <w:next w:val="43"/>
    <w:link w:val="0"/>
    <w:uiPriority w:val="0"/>
  </w:style>
  <w:style w:type="character" w:styleId="44">
    <w:name w:val="Hyperlink"/>
    <w:basedOn w:val="10"/>
    <w:next w:val="44"/>
    <w:link w:val="0"/>
    <w:uiPriority w:val="0"/>
    <w:rPr>
      <w:color w:val="0000FF" w:themeColor="hyperlink"/>
      <w:u w:val="single" w:color="auto"/>
    </w:rPr>
  </w:style>
  <w:style w:type="character" w:styleId="45" w:customStyle="1">
    <w:name w:val="Unresolved Mention"/>
    <w:basedOn w:val="10"/>
    <w:next w:val="45"/>
    <w:link w:val="0"/>
    <w:uiPriority w:val="0"/>
    <w:rPr>
      <w:color w:val="605E5C"/>
      <w:shd w:val="clear" w:color="auto" w:fill="E1DFDD"/>
    </w:rPr>
  </w:style>
  <w:style w:type="table" w:styleId="46">
    <w:name w:val="Table Grid"/>
    <w:basedOn w:val="11"/>
    <w:next w:val="4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</TotalTime>
  <Pages>9</Pages>
  <Words>77</Words>
  <Characters>4391</Characters>
  <Application>JUST Note</Application>
  <Lines>4284</Lines>
  <Paragraphs>413</Paragraphs>
  <Company>METI</Company>
  <CharactersWithSpaces>4734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181128_ＳＮ照会回答事例集（案）ｒｒ.docx</dc:title>
  <dc:creator>田中 明夫</dc:creator>
  <cp:lastModifiedBy>山田　清愛</cp:lastModifiedBy>
  <cp:lastPrinted>2024-09-30T11:50:00Z</cp:lastPrinted>
  <dcterms:created xsi:type="dcterms:W3CDTF">2024-09-30T11:54:00Z</dcterms:created>
  <dcterms:modified xsi:type="dcterms:W3CDTF">2024-11-21T05:45:32Z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0x0101008480E3EC14751440BBBBA5127164FAD6</vt:lpwstr>
  </property>
</Properties>
</file>