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2"/>
        <w:gridCol w:w="3906"/>
        <w:gridCol w:w="2757"/>
      </w:tblGrid>
      <w:tr>
        <w:trPr>
          <w:trHeight w:val="382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382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80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82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82" w:hRule="atLeast"/>
        </w:trPr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83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3728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（表３：最近３か月間の前年同期の月平均売上高営業利益率【Ｂ】）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97"/>
        <w:gridCol w:w="2438"/>
      </w:tblGrid>
      <w:tr>
        <w:trPr/>
        <w:tc>
          <w:tcPr>
            <w:tcW w:w="70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243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5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43"/>
        <w:gridCol w:w="1589"/>
        <w:gridCol w:w="1908"/>
      </w:tblGrid>
      <w:tr>
        <w:trPr>
          <w:trHeight w:val="514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908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544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58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4396</Characters>
  <Application>JUST Note</Application>
  <Lines>4249</Lines>
  <Paragraphs>416</Paragraphs>
  <Company>METI</Company>
  <CharactersWithSpaces>4739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